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05A" w:rsidRPr="00406514" w:rsidRDefault="00B9005A" w:rsidP="00CE4E32">
      <w:pPr>
        <w:shd w:val="clear" w:color="auto" w:fill="FFFFFF"/>
        <w:spacing w:after="200" w:line="276" w:lineRule="auto"/>
        <w:jc w:val="right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>Ф.7.04.-08</w:t>
      </w:r>
    </w:p>
    <w:p w:rsidR="00B9005A" w:rsidRPr="00406514" w:rsidRDefault="00B9005A" w:rsidP="00CE4E32">
      <w:pPr>
        <w:shd w:val="clear" w:color="auto" w:fill="FFFFFF"/>
        <w:spacing w:after="200" w:line="276" w:lineRule="auto"/>
        <w:jc w:val="center"/>
        <w:rPr>
          <w:rFonts w:ascii="Times New Roman" w:eastAsia="Malgun Gothic" w:hAnsi="Times New Roman" w:cs="Times New Roman"/>
          <w:b/>
          <w:bCs/>
          <w:cap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/>
          <w:bCs/>
          <w:caps/>
          <w:noProof/>
          <w:color w:val="000000"/>
          <w:sz w:val="28"/>
          <w:szCs w:val="28"/>
          <w:lang w:val="kk-KZ" w:eastAsia="en-US"/>
        </w:rPr>
        <w:t>қазақстан республикасы ҒЫЛЫМ  және  ЖОҒАРЫ БІЛІМ министрлігі</w:t>
      </w:r>
    </w:p>
    <w:p w:rsidR="00B9005A" w:rsidRPr="00406514" w:rsidRDefault="00B9005A" w:rsidP="00CE4E32">
      <w:pPr>
        <w:shd w:val="clear" w:color="auto" w:fill="FFFFFF"/>
        <w:spacing w:after="0" w:line="240" w:lineRule="auto"/>
        <w:jc w:val="center"/>
        <w:rPr>
          <w:rFonts w:ascii="Times New Roman" w:eastAsia="Malgun Gothic" w:hAnsi="Times New Roman" w:cs="Times New Roman"/>
          <w:b/>
          <w:bCs/>
          <w:cap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/>
          <w:bCs/>
          <w:caps/>
          <w:noProof/>
          <w:color w:val="000000"/>
          <w:sz w:val="28"/>
          <w:szCs w:val="28"/>
          <w:lang w:val="kk-KZ" w:eastAsia="en-US"/>
        </w:rPr>
        <w:t>м.Әуезов атындағы оңтүстік қазақстан университеті</w:t>
      </w:r>
    </w:p>
    <w:p w:rsidR="00B9005A" w:rsidRPr="00406514" w:rsidRDefault="00B9005A" w:rsidP="00CE4E32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iCs/>
          <w:noProof/>
          <w:sz w:val="28"/>
          <w:szCs w:val="28"/>
          <w:lang w:val="kk-KZ" w:eastAsia="en-US"/>
        </w:rPr>
      </w:pPr>
    </w:p>
    <w:p w:rsidR="00B9005A" w:rsidRPr="00406514" w:rsidRDefault="00B9005A" w:rsidP="00CE4E32">
      <w:pPr>
        <w:shd w:val="clear" w:color="auto" w:fill="FFFFFF"/>
        <w:spacing w:after="0" w:line="240" w:lineRule="auto"/>
        <w:jc w:val="center"/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</w:pPr>
    </w:p>
    <w:p w:rsidR="00B9005A" w:rsidRPr="00406514" w:rsidRDefault="00B9005A" w:rsidP="00CE4E32">
      <w:pPr>
        <w:shd w:val="clear" w:color="auto" w:fill="FFFFFF"/>
        <w:spacing w:after="0" w:line="240" w:lineRule="auto"/>
        <w:jc w:val="center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ӘОЖ</w:t>
      </w:r>
      <w:r w:rsidR="006703B7"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 xml:space="preserve"> 81´37 </w:t>
      </w: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 xml:space="preserve">                    </w:t>
      </w:r>
      <w:r w:rsidR="006703B7"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 xml:space="preserve">                       </w:t>
      </w: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 xml:space="preserve">                                Қолжазба құқығында</w:t>
      </w:r>
    </w:p>
    <w:p w:rsidR="00B9005A" w:rsidRPr="00406514" w:rsidRDefault="006703B7" w:rsidP="00CE4E32">
      <w:pPr>
        <w:shd w:val="clear" w:color="auto" w:fill="FFFFFF"/>
        <w:spacing w:after="200" w:line="276" w:lineRule="auto"/>
        <w:jc w:val="center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 xml:space="preserve">       </w:t>
      </w:r>
    </w:p>
    <w:p w:rsidR="00B9005A" w:rsidRPr="00406514" w:rsidRDefault="00B9005A" w:rsidP="00CE4E32">
      <w:pPr>
        <w:shd w:val="clear" w:color="auto" w:fill="FFFFFF"/>
        <w:spacing w:after="200" w:line="276" w:lineRule="auto"/>
        <w:jc w:val="center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>Филология факультеті</w:t>
      </w:r>
    </w:p>
    <w:p w:rsidR="00B9005A" w:rsidRPr="00406514" w:rsidRDefault="00B9005A" w:rsidP="00CE4E32">
      <w:pPr>
        <w:shd w:val="clear" w:color="auto" w:fill="FFFFFF"/>
        <w:spacing w:after="200" w:line="276" w:lineRule="auto"/>
        <w:jc w:val="center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>Қазақ тілі мен әдебиеті кафедрасы</w:t>
      </w:r>
    </w:p>
    <w:p w:rsidR="00B9005A" w:rsidRPr="00406514" w:rsidRDefault="00B9005A" w:rsidP="00CE4E32">
      <w:pPr>
        <w:shd w:val="clear" w:color="auto" w:fill="FFFFFF"/>
        <w:spacing w:after="20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</w:pPr>
    </w:p>
    <w:p w:rsidR="00B9005A" w:rsidRPr="00406514" w:rsidRDefault="00B9005A" w:rsidP="00CE4E32">
      <w:pPr>
        <w:shd w:val="clear" w:color="auto" w:fill="FFFFFF"/>
        <w:spacing w:after="20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</w:pPr>
      <w:r w:rsidRPr="00406514"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  <w:t>Хусаинова Гульмира Жангалиевна</w:t>
      </w:r>
    </w:p>
    <w:p w:rsidR="00B9005A" w:rsidRPr="00406514" w:rsidRDefault="00B9005A" w:rsidP="00CE4E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</w:pPr>
      <w:r w:rsidRPr="00406514">
        <w:rPr>
          <w:rFonts w:ascii="Times New Roman" w:eastAsia="MS Mincho" w:hAnsi="Times New Roman" w:cs="Times New Roman"/>
          <w:sz w:val="28"/>
          <w:szCs w:val="28"/>
          <w:lang w:val="kk-KZ" w:eastAsia="en-US"/>
        </w:rPr>
        <w:t xml:space="preserve">Тақырыбы: </w:t>
      </w:r>
      <w:r w:rsidRPr="00406514"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  <w:t xml:space="preserve"> Мәдениетаралық қатысымдағы түр-түс концептілерінің семантикалық өрісі ( қазақ</w:t>
      </w:r>
      <w:r w:rsidR="002A6673" w:rsidRPr="00406514"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  <w:t>, кәріс, ағылшын тілдері</w:t>
      </w:r>
      <w:r w:rsidRPr="00406514"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  <w:t xml:space="preserve"> негізінде)</w:t>
      </w:r>
    </w:p>
    <w:p w:rsidR="00B9005A" w:rsidRPr="00406514" w:rsidRDefault="00B9005A" w:rsidP="00CE4E32">
      <w:pPr>
        <w:shd w:val="clear" w:color="auto" w:fill="FFFFFF"/>
        <w:spacing w:after="20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</w:pPr>
    </w:p>
    <w:p w:rsidR="00B9005A" w:rsidRPr="00406514" w:rsidRDefault="00B9005A" w:rsidP="00CE4E32">
      <w:pPr>
        <w:shd w:val="clear" w:color="auto" w:fill="FFFFFF"/>
        <w:spacing w:after="200" w:line="276" w:lineRule="auto"/>
        <w:jc w:val="center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S Mincho" w:hAnsi="Times New Roman" w:cs="Times New Roman"/>
          <w:b/>
          <w:sz w:val="28"/>
          <w:szCs w:val="28"/>
          <w:lang w:val="kk-KZ" w:eastAsia="en-US"/>
        </w:rPr>
        <w:t>Философия докторы (PhD) дәрежесін алу үшін дайындалған диссертация</w:t>
      </w:r>
    </w:p>
    <w:p w:rsidR="00B9005A" w:rsidRPr="00406514" w:rsidRDefault="00B9005A" w:rsidP="00CE4E32">
      <w:pPr>
        <w:spacing w:after="200" w:line="276" w:lineRule="auto"/>
        <w:jc w:val="center"/>
        <w:rPr>
          <w:rFonts w:ascii="Times New Roman" w:eastAsia="MS Mincho" w:hAnsi="Times New Roman" w:cs="Times New Roman"/>
          <w:sz w:val="28"/>
          <w:szCs w:val="28"/>
          <w:lang w:val="kk-KZ" w:eastAsia="en-US"/>
        </w:rPr>
      </w:pPr>
      <w:r w:rsidRPr="00406514">
        <w:rPr>
          <w:rFonts w:ascii="Times New Roman" w:eastAsia="MS Mincho" w:hAnsi="Times New Roman" w:cs="Times New Roman"/>
          <w:sz w:val="28"/>
          <w:szCs w:val="28"/>
          <w:u w:val="single"/>
          <w:lang w:val="kk-KZ" w:eastAsia="en-US"/>
        </w:rPr>
        <w:t>8D02310-Филология білім</w:t>
      </w:r>
      <w:bookmarkStart w:id="0" w:name="_GoBack"/>
      <w:bookmarkEnd w:id="0"/>
      <w:r w:rsidRPr="00406514">
        <w:rPr>
          <w:rFonts w:ascii="Times New Roman" w:eastAsia="MS Mincho" w:hAnsi="Times New Roman" w:cs="Times New Roman"/>
          <w:sz w:val="28"/>
          <w:szCs w:val="28"/>
          <w:u w:val="single"/>
          <w:lang w:val="kk-KZ" w:eastAsia="en-US"/>
        </w:rPr>
        <w:t xml:space="preserve"> беру бағдарламасы </w:t>
      </w:r>
      <w:r w:rsidRPr="00406514">
        <w:rPr>
          <w:rFonts w:ascii="Times New Roman" w:eastAsia="MS Mincho" w:hAnsi="Times New Roman" w:cs="Times New Roman"/>
          <w:sz w:val="28"/>
          <w:szCs w:val="28"/>
          <w:lang w:val="kk-KZ" w:eastAsia="en-US"/>
        </w:rPr>
        <w:t>бойынша</w:t>
      </w:r>
    </w:p>
    <w:p w:rsidR="00B9005A" w:rsidRPr="00406514" w:rsidRDefault="00B9005A" w:rsidP="00CE4E32">
      <w:pPr>
        <w:spacing w:after="200" w:line="276" w:lineRule="auto"/>
        <w:jc w:val="center"/>
        <w:rPr>
          <w:rFonts w:ascii="Times New Roman" w:eastAsia="MS Mincho" w:hAnsi="Times New Roman" w:cs="Times New Roman"/>
          <w:sz w:val="28"/>
          <w:szCs w:val="28"/>
          <w:lang w:val="kk-KZ" w:eastAsia="en-US"/>
        </w:rPr>
      </w:pPr>
      <w:r w:rsidRPr="00406514">
        <w:rPr>
          <w:rFonts w:ascii="Times New Roman" w:eastAsia="MS Mincho" w:hAnsi="Times New Roman" w:cs="Times New Roman"/>
          <w:sz w:val="28"/>
          <w:szCs w:val="28"/>
          <w:lang w:val="kk-KZ" w:eastAsia="en-US"/>
        </w:rPr>
        <w:t>(Аңдатпа)</w:t>
      </w:r>
    </w:p>
    <w:p w:rsidR="00B9005A" w:rsidRPr="00406514" w:rsidRDefault="00B9005A" w:rsidP="005C3E73">
      <w:pPr>
        <w:shd w:val="clear" w:color="auto" w:fill="FFFFFF"/>
        <w:spacing w:after="200" w:line="276" w:lineRule="auto"/>
        <w:jc w:val="both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</w:p>
    <w:p w:rsidR="00B9005A" w:rsidRPr="00406514" w:rsidRDefault="00B9005A" w:rsidP="005C3E73">
      <w:pPr>
        <w:shd w:val="clear" w:color="auto" w:fill="FFFFFF"/>
        <w:spacing w:after="200" w:line="276" w:lineRule="auto"/>
        <w:jc w:val="both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 xml:space="preserve"> </w:t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ab/>
      </w:r>
    </w:p>
    <w:p w:rsidR="00B9005A" w:rsidRPr="00406514" w:rsidRDefault="00B9005A" w:rsidP="005C3E73">
      <w:pPr>
        <w:shd w:val="clear" w:color="auto" w:fill="FFFFFF"/>
        <w:spacing w:after="0" w:line="240" w:lineRule="auto"/>
        <w:ind w:left="5387"/>
        <w:jc w:val="both"/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Cs/>
          <w:noProof/>
          <w:color w:val="000000"/>
          <w:sz w:val="28"/>
          <w:szCs w:val="28"/>
          <w:lang w:val="kk-KZ" w:eastAsia="en-US"/>
        </w:rPr>
        <w:t xml:space="preserve">Отандық ғылыми </w:t>
      </w: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 xml:space="preserve">кеңесші: </w:t>
      </w:r>
      <w:r w:rsidRPr="00406514">
        <w:rPr>
          <w:rFonts w:ascii="Times New Roman" w:eastAsia="MS Mincho" w:hAnsi="Times New Roman" w:cs="Times New Roman"/>
          <w:iCs/>
          <w:noProof/>
          <w:sz w:val="28"/>
          <w:szCs w:val="28"/>
          <w:lang w:val="kk-KZ" w:eastAsia="en-US"/>
        </w:rPr>
        <w:t xml:space="preserve">Филология </w:t>
      </w: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ғылым</w:t>
      </w:r>
      <w:r w:rsidR="002A6673"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дарының  докторы, профессор   Т</w:t>
      </w: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леубердиев Болатбек Мақұлбекұлы.</w:t>
      </w:r>
    </w:p>
    <w:p w:rsidR="00B9005A" w:rsidRPr="00406514" w:rsidRDefault="00B9005A" w:rsidP="005C3E73">
      <w:pPr>
        <w:shd w:val="clear" w:color="auto" w:fill="FFFFFF"/>
        <w:spacing w:after="0" w:line="240" w:lineRule="auto"/>
        <w:ind w:left="5387"/>
        <w:jc w:val="both"/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Шетелдік ғылыми кеңесші:</w:t>
      </w:r>
    </w:p>
    <w:p w:rsidR="00B9005A" w:rsidRPr="00406514" w:rsidRDefault="006703B7" w:rsidP="005C3E73">
      <w:pPr>
        <w:shd w:val="clear" w:color="auto" w:fill="FFFFFF"/>
        <w:spacing w:after="0" w:line="240" w:lineRule="auto"/>
        <w:ind w:left="5387"/>
        <w:jc w:val="both"/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Филология ғылымдарының  докторы, профессор Радбил</w:t>
      </w:r>
      <w:r w:rsidR="002A6673"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ь Ти</w:t>
      </w:r>
      <w:r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мур Бенью</w:t>
      </w:r>
      <w:r w:rsidR="00B9005A" w:rsidRPr="00406514">
        <w:rPr>
          <w:rFonts w:ascii="Times New Roman" w:eastAsia="Malgun Gothic" w:hAnsi="Times New Roman" w:cs="Times New Roman"/>
          <w:iCs/>
          <w:noProof/>
          <w:sz w:val="28"/>
          <w:szCs w:val="28"/>
          <w:lang w:val="kk-KZ" w:eastAsia="en-US"/>
        </w:rPr>
        <w:t>минович</w:t>
      </w:r>
    </w:p>
    <w:p w:rsidR="00B9005A" w:rsidRPr="00406514" w:rsidRDefault="00B9005A" w:rsidP="005C3E73">
      <w:pPr>
        <w:shd w:val="clear" w:color="auto" w:fill="FFFFFF"/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</w:p>
    <w:p w:rsidR="00B9005A" w:rsidRPr="00406514" w:rsidRDefault="00B9005A" w:rsidP="005C3E73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</w:p>
    <w:p w:rsidR="00B9005A" w:rsidRPr="00406514" w:rsidRDefault="00B9005A" w:rsidP="00CE4E32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</w:pPr>
      <w:r w:rsidRPr="00406514">
        <w:rPr>
          <w:rFonts w:ascii="Times New Roman" w:eastAsia="Malgun Gothic" w:hAnsi="Times New Roman" w:cs="Times New Roman"/>
          <w:b/>
          <w:bCs/>
          <w:noProof/>
          <w:color w:val="000000"/>
          <w:sz w:val="28"/>
          <w:szCs w:val="28"/>
          <w:lang w:val="kk-KZ" w:eastAsia="en-US"/>
        </w:rPr>
        <w:t>Шымкент, 2025</w:t>
      </w:r>
    </w:p>
    <w:p w:rsidR="006703B7" w:rsidRPr="00406514" w:rsidRDefault="006703B7" w:rsidP="006703B7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8"/>
          <w:szCs w:val="28"/>
          <w:lang w:val="kk-KZ"/>
        </w:rPr>
      </w:pPr>
    </w:p>
    <w:p w:rsidR="002A6673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noProof/>
          <w:spacing w:val="-11"/>
          <w:sz w:val="28"/>
          <w:szCs w:val="28"/>
          <w:lang w:val="kk-KZ"/>
        </w:rPr>
        <w:lastRenderedPageBreak/>
        <w:t xml:space="preserve">Диссертациялық жұмыс </w:t>
      </w:r>
      <w:r w:rsidRPr="00406514">
        <w:rPr>
          <w:rFonts w:ascii="Times New Roman" w:eastAsia="Malgun Gothic" w:hAnsi="Times New Roman" w:cs="Times New Roman"/>
          <w:sz w:val="28"/>
          <w:szCs w:val="28"/>
        </w:rPr>
        <w:fldChar w:fldCharType="begin"/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instrText xml:space="preserve"> HYPERLINK "https://www.gov.kz/memleket/entities/sci" \o "" </w:instrText>
      </w:r>
      <w:r w:rsidRPr="00406514">
        <w:rPr>
          <w:rFonts w:ascii="Times New Roman" w:eastAsia="Malgun Gothic" w:hAnsi="Times New Roman" w:cs="Times New Roman"/>
          <w:sz w:val="28"/>
          <w:szCs w:val="28"/>
        </w:rPr>
        <w:fldChar w:fldCharType="separate"/>
      </w:r>
      <w:r w:rsidRPr="00406514">
        <w:rPr>
          <w:rFonts w:ascii="Times New Roman" w:eastAsia="Malgun Gothic" w:hAnsi="Times New Roman" w:cs="Times New Roman"/>
          <w:color w:val="0000FF"/>
          <w:sz w:val="28"/>
          <w:szCs w:val="28"/>
          <w:u w:val="single"/>
          <w:lang w:val="kk-KZ"/>
        </w:rPr>
        <w:t>Қаз</w:t>
      </w:r>
      <w:r w:rsidR="002A6673" w:rsidRPr="00406514">
        <w:rPr>
          <w:rFonts w:ascii="Times New Roman" w:eastAsia="Malgun Gothic" w:hAnsi="Times New Roman" w:cs="Times New Roman"/>
          <w:color w:val="0000FF"/>
          <w:sz w:val="28"/>
          <w:szCs w:val="28"/>
          <w:u w:val="single"/>
          <w:lang w:val="kk-KZ"/>
        </w:rPr>
        <w:t>ақстан Республикасы Ғылым және Ж</w:t>
      </w:r>
      <w:r w:rsidRPr="00406514">
        <w:rPr>
          <w:rFonts w:ascii="Times New Roman" w:eastAsia="Malgun Gothic" w:hAnsi="Times New Roman" w:cs="Times New Roman"/>
          <w:color w:val="0000FF"/>
          <w:sz w:val="28"/>
          <w:szCs w:val="28"/>
          <w:u w:val="single"/>
          <w:lang w:val="kk-KZ"/>
        </w:rPr>
        <w:t>оғары білім министрлігі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М.Әуезов атындағы Оңтүстік Қазақстан университетінің «Қазақ тілі мен әдебиеті» кафедрасында орындалды.</w:t>
      </w:r>
    </w:p>
    <w:tbl>
      <w:tblPr>
        <w:tblStyle w:val="31"/>
        <w:tblpPr w:leftFromText="180" w:rightFromText="180" w:vertAnchor="page" w:horzAnchor="margin" w:tblpY="25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6"/>
      </w:tblGrid>
      <w:tr w:rsidR="002A6673" w:rsidRPr="00211E2C" w:rsidTr="00211E2C">
        <w:tc>
          <w:tcPr>
            <w:tcW w:w="4785" w:type="dxa"/>
          </w:tcPr>
          <w:p w:rsidR="002A6673" w:rsidRPr="00406514" w:rsidRDefault="002A6673" w:rsidP="002A6673">
            <w:pPr>
              <w:spacing w:after="160" w:line="252" w:lineRule="auto"/>
              <w:rPr>
                <w:rFonts w:ascii="Times New Roman" w:eastAsia="Malgun Gothic" w:hAnsi="Times New Roman"/>
                <w:color w:val="0000FF"/>
                <w:sz w:val="28"/>
                <w:szCs w:val="28"/>
                <w:u w:val="single"/>
                <w:lang w:val="kk-KZ"/>
              </w:rPr>
            </w:pP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Отандық ғылыми кеңесші:</w:t>
            </w:r>
          </w:p>
        </w:tc>
        <w:tc>
          <w:tcPr>
            <w:tcW w:w="4786" w:type="dxa"/>
          </w:tcPr>
          <w:p w:rsidR="002A6673" w:rsidRPr="00406514" w:rsidRDefault="00211E2C" w:rsidP="00211E2C">
            <w:pPr>
              <w:spacing w:after="160" w:line="252" w:lineRule="auto"/>
              <w:rPr>
                <w:rFonts w:ascii="Times New Roman" w:eastAsia="Malgun Gothic" w:hAnsi="Times New Roman"/>
                <w:color w:val="0000FF"/>
                <w:sz w:val="28"/>
                <w:szCs w:val="28"/>
                <w:u w:val="single"/>
                <w:lang w:val="kk-KZ"/>
              </w:rPr>
            </w:pPr>
            <w:r w:rsidRPr="00211E2C">
              <w:rPr>
                <w:rFonts w:ascii="Times New Roman" w:eastAsia="Malgun Gothic" w:hAnsi="Times New Roman"/>
                <w:b/>
                <w:sz w:val="28"/>
                <w:szCs w:val="28"/>
                <w:lang w:val="kk-KZ"/>
              </w:rPr>
              <w:t>Тлеубердиев Болат Макулбекович</w:t>
            </w:r>
            <w:r w:rsidRPr="00211E2C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  <w:r w:rsidRPr="00406514">
              <w:rPr>
                <w:rFonts w:ascii="Times New Roman" w:eastAsia="Malgun Gothic" w:hAnsi="Times New Roman"/>
                <w:color w:val="0D0D0D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ф</w:t>
            </w:r>
            <w:r w:rsidR="002A6673"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илология ғылымдарының докторы, профессор</w:t>
            </w:r>
            <w:r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ы. </w:t>
            </w:r>
            <w:r w:rsidR="002A6673"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  <w:r w:rsidRPr="004E46A9">
              <w:rPr>
                <w:lang w:val="kk-KZ"/>
              </w:rPr>
              <w:t xml:space="preserve"> </w:t>
            </w:r>
            <w:r w:rsidRPr="00211E2C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М.Әуезов атындағы Оңтүстік Қазақстан университеті</w:t>
            </w:r>
            <w:r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A6673" w:rsidRPr="00211E2C" w:rsidTr="00211E2C">
        <w:tc>
          <w:tcPr>
            <w:tcW w:w="4785" w:type="dxa"/>
          </w:tcPr>
          <w:p w:rsidR="002A6673" w:rsidRPr="00406514" w:rsidRDefault="002A6673" w:rsidP="002A6673">
            <w:pPr>
              <w:spacing w:after="160" w:line="252" w:lineRule="auto"/>
              <w:rPr>
                <w:rFonts w:ascii="Times New Roman" w:eastAsia="Malgun Gothic" w:hAnsi="Times New Roman"/>
                <w:color w:val="0000FF"/>
                <w:sz w:val="28"/>
                <w:szCs w:val="28"/>
                <w:u w:val="single"/>
                <w:lang w:val="kk-KZ"/>
              </w:rPr>
            </w:pPr>
            <w:r w:rsidRPr="00406514">
              <w:rPr>
                <w:rFonts w:ascii="Times New Roman" w:eastAsia="Malgun Gothic" w:hAnsi="Times New Roman"/>
                <w:iCs/>
                <w:noProof/>
                <w:sz w:val="28"/>
                <w:szCs w:val="28"/>
                <w:lang w:val="kk-KZ"/>
              </w:rPr>
              <w:t>Шетелдік ғылыми кеңесші:</w:t>
            </w:r>
          </w:p>
        </w:tc>
        <w:tc>
          <w:tcPr>
            <w:tcW w:w="4786" w:type="dxa"/>
          </w:tcPr>
          <w:p w:rsidR="002A6673" w:rsidRPr="00406514" w:rsidRDefault="00211E2C" w:rsidP="00211E2C">
            <w:pPr>
              <w:spacing w:after="160" w:line="252" w:lineRule="auto"/>
              <w:ind w:left="35" w:firstLine="19"/>
              <w:jc w:val="both"/>
              <w:rPr>
                <w:rFonts w:ascii="Times New Roman" w:eastAsia="Malgun Gothic" w:hAnsi="Times New Roman"/>
                <w:sz w:val="28"/>
                <w:szCs w:val="28"/>
                <w:lang w:val="kk-KZ"/>
              </w:rPr>
            </w:pPr>
            <w:r w:rsidRPr="00211E2C">
              <w:rPr>
                <w:rFonts w:ascii="Times New Roman" w:eastAsia="Malgun Gothic" w:hAnsi="Times New Roman"/>
                <w:b/>
                <w:sz w:val="28"/>
                <w:szCs w:val="28"/>
                <w:lang w:val="kk-KZ"/>
              </w:rPr>
              <w:t>Радбиль Тимур Беньюминович</w:t>
            </w:r>
            <w:r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  <w:r w:rsidRPr="00211E2C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ф</w:t>
            </w:r>
            <w:r w:rsidR="002A6673"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илология ғылымдарының докторы</w:t>
            </w:r>
            <w:r w:rsidR="002A6673" w:rsidRPr="00406514">
              <w:rPr>
                <w:rFonts w:ascii="Times New Roman" w:eastAsia="Malgun Gothic" w:hAnsi="Times New Roman"/>
                <w:iCs/>
                <w:noProof/>
                <w:sz w:val="28"/>
                <w:szCs w:val="28"/>
                <w:lang w:val="kk-KZ"/>
              </w:rPr>
              <w:t>, профессор</w:t>
            </w:r>
            <w:r w:rsidR="002A6673" w:rsidRPr="00406514">
              <w:rPr>
                <w:rFonts w:ascii="Times New Roman" w:eastAsia="Malgun Gothic" w:hAnsi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="002A6673" w:rsidRPr="00406514">
              <w:rPr>
                <w:sz w:val="28"/>
                <w:szCs w:val="28"/>
                <w:lang w:val="kk-KZ"/>
              </w:rPr>
              <w:t xml:space="preserve"> </w:t>
            </w:r>
            <w:r w:rsidR="002A6673" w:rsidRPr="00406514">
              <w:rPr>
                <w:rFonts w:ascii="Times New Roman" w:eastAsia="Malgun Gothic" w:hAnsi="Times New Roman"/>
                <w:bCs/>
                <w:iCs/>
                <w:sz w:val="28"/>
                <w:szCs w:val="28"/>
                <w:lang w:val="kk-KZ"/>
              </w:rPr>
              <w:t xml:space="preserve">Ресей қаласы, Н.И.Лобачевский атындағы Нижегород мемлекеттік университеті. </w:t>
            </w:r>
          </w:p>
          <w:p w:rsidR="002A6673" w:rsidRPr="00406514" w:rsidRDefault="002A6673" w:rsidP="002A6673">
            <w:pPr>
              <w:spacing w:after="160" w:line="252" w:lineRule="auto"/>
              <w:jc w:val="both"/>
              <w:rPr>
                <w:rFonts w:ascii="Times New Roman" w:eastAsia="Malgun Gothic" w:hAnsi="Times New Roman"/>
                <w:color w:val="0000FF"/>
                <w:sz w:val="28"/>
                <w:szCs w:val="28"/>
                <w:u w:val="single"/>
                <w:lang w:val="kk-KZ"/>
              </w:rPr>
            </w:pPr>
          </w:p>
        </w:tc>
      </w:tr>
    </w:tbl>
    <w:p w:rsidR="006703B7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</w:p>
    <w:p w:rsidR="006703B7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</w:rPr>
        <w:fldChar w:fldCharType="end"/>
      </w: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680"/>
      </w:tblGrid>
      <w:tr w:rsidR="006703B7" w:rsidRPr="00B27364" w:rsidTr="003664EC">
        <w:tc>
          <w:tcPr>
            <w:tcW w:w="4678" w:type="dxa"/>
          </w:tcPr>
          <w:p w:rsidR="006703B7" w:rsidRPr="00406514" w:rsidRDefault="006703B7" w:rsidP="006703B7">
            <w:pPr>
              <w:spacing w:after="160" w:line="252" w:lineRule="auto"/>
              <w:jc w:val="both"/>
              <w:rPr>
                <w:rFonts w:ascii="Times New Roman" w:eastAsia="Malgun Gothic" w:hAnsi="Times New Roman"/>
                <w:sz w:val="28"/>
                <w:szCs w:val="28"/>
                <w:lang w:val="kk-KZ"/>
              </w:rPr>
            </w:pP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Ресми рецензенттер:   </w:t>
            </w:r>
          </w:p>
        </w:tc>
        <w:tc>
          <w:tcPr>
            <w:tcW w:w="4785" w:type="dxa"/>
          </w:tcPr>
          <w:p w:rsidR="006703B7" w:rsidRPr="00406514" w:rsidRDefault="006703B7" w:rsidP="002A6673">
            <w:pPr>
              <w:shd w:val="clear" w:color="auto" w:fill="FFFFFF"/>
              <w:jc w:val="both"/>
              <w:rPr>
                <w:rFonts w:ascii="Times New Roman" w:eastAsia="Malgun Gothic" w:hAnsi="Times New Roman"/>
                <w:sz w:val="28"/>
                <w:szCs w:val="28"/>
                <w:lang w:val="kk-KZ"/>
              </w:rPr>
            </w:pPr>
            <w:r w:rsidRPr="00406514">
              <w:rPr>
                <w:rFonts w:ascii="Times New Roman" w:eastAsia="Malgun Gothic" w:hAnsi="Times New Roman"/>
                <w:b/>
                <w:bCs/>
                <w:sz w:val="28"/>
                <w:szCs w:val="28"/>
                <w:lang w:val="kk-KZ"/>
              </w:rPr>
              <w:t>Авакова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  <w:r w:rsidRPr="00406514">
              <w:rPr>
                <w:rFonts w:ascii="Times New Roman" w:eastAsia="Malgun Gothic" w:hAnsi="Times New Roman"/>
                <w:b/>
                <w:bCs/>
                <w:sz w:val="28"/>
                <w:szCs w:val="28"/>
                <w:lang w:val="kk-KZ"/>
              </w:rPr>
              <w:t>Раушангул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  <w:r w:rsidRPr="00406514">
              <w:rPr>
                <w:rFonts w:ascii="Times New Roman" w:eastAsia="Malgun Gothic" w:hAnsi="Times New Roman"/>
                <w:b/>
                <w:bCs/>
                <w:sz w:val="28"/>
                <w:szCs w:val="28"/>
                <w:lang w:val="kk-KZ"/>
              </w:rPr>
              <w:t>Амирдиновна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  <w:r w:rsidRPr="00406514">
              <w:rPr>
                <w:rFonts w:ascii="Times New Roman" w:eastAsia="Malgun Gothic" w:hAnsi="Times New Roman"/>
                <w:color w:val="0D0D0D"/>
                <w:sz w:val="28"/>
                <w:szCs w:val="28"/>
                <w:lang w:val="kk-KZ"/>
              </w:rPr>
              <w:t xml:space="preserve">– 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филология ғылымдарының докторы, профессор</w:t>
            </w:r>
            <w:r w:rsidR="002A6673"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.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</w:t>
            </w:r>
            <w:r w:rsidR="002A6673"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Аль-Фараби атындағы ҚАҰУ-дың «Т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үркология және тіл теориясы</w:t>
            </w:r>
            <w:r w:rsidR="002A6673"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»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кафедрасының меңгерушісі</w:t>
            </w:r>
            <w:r w:rsidRPr="00406514">
              <w:rPr>
                <w:rFonts w:ascii="Times New Roman" w:eastAsia="Malgun Gothic" w:hAnsi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</w:tr>
      <w:tr w:rsidR="006703B7" w:rsidRPr="00B27364" w:rsidTr="003664EC">
        <w:tc>
          <w:tcPr>
            <w:tcW w:w="4678" w:type="dxa"/>
          </w:tcPr>
          <w:p w:rsidR="006703B7" w:rsidRPr="00406514" w:rsidRDefault="006703B7" w:rsidP="006703B7">
            <w:pPr>
              <w:spacing w:after="160" w:line="252" w:lineRule="auto"/>
              <w:jc w:val="both"/>
              <w:rPr>
                <w:rFonts w:ascii="Times New Roman" w:eastAsia="Malgun Gothic" w:hAnsi="Times New Roman"/>
                <w:sz w:val="28"/>
                <w:szCs w:val="28"/>
                <w:lang w:val="kk-KZ"/>
              </w:rPr>
            </w:pPr>
          </w:p>
        </w:tc>
        <w:tc>
          <w:tcPr>
            <w:tcW w:w="4785" w:type="dxa"/>
          </w:tcPr>
          <w:p w:rsidR="006703B7" w:rsidRPr="00406514" w:rsidRDefault="006703B7" w:rsidP="002A6673">
            <w:pPr>
              <w:shd w:val="clear" w:color="auto" w:fill="FFFFFF"/>
              <w:jc w:val="both"/>
              <w:rPr>
                <w:rFonts w:ascii="Times New Roman" w:eastAsia="Malgun Gothic" w:hAnsi="Times New Roman"/>
                <w:bCs/>
                <w:sz w:val="28"/>
                <w:szCs w:val="28"/>
                <w:lang w:val="kk-KZ"/>
              </w:rPr>
            </w:pPr>
            <w:r w:rsidRPr="00406514">
              <w:rPr>
                <w:rFonts w:ascii="Times New Roman" w:eastAsia="Malgun Gothic" w:hAnsi="Times New Roman"/>
                <w:b/>
                <w:sz w:val="28"/>
                <w:szCs w:val="28"/>
                <w:lang w:val="kk-KZ"/>
              </w:rPr>
              <w:t>Байсыдық Индира Болатбекқызы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 – философия докторы</w:t>
            </w:r>
            <w:r w:rsidRPr="00406514">
              <w:rPr>
                <w:rFonts w:ascii="Times New Roman" w:eastAsia="Malgun Gothic" w:hAnsi="Times New Roman"/>
                <w:color w:val="000000"/>
                <w:sz w:val="28"/>
                <w:szCs w:val="28"/>
                <w:lang w:val="kk-KZ"/>
              </w:rPr>
              <w:t xml:space="preserve"> (PhD), 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 xml:space="preserve">Абай атындағы ҚазҰПУ, Ғылым департаменті, Жобалық кеңсе жетекшісі, Практикалық ағылшын тілі кафедрасының </w:t>
            </w:r>
            <w:r w:rsidR="002A6673"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аға оқытушысы, РhD</w:t>
            </w:r>
            <w:r w:rsidRPr="00406514">
              <w:rPr>
                <w:rFonts w:ascii="Times New Roman" w:eastAsia="Malgun Gothic" w:hAnsi="Times New Roman"/>
                <w:sz w:val="28"/>
                <w:szCs w:val="28"/>
                <w:lang w:val="kk-KZ"/>
              </w:rPr>
              <w:t>.</w:t>
            </w:r>
          </w:p>
        </w:tc>
      </w:tr>
    </w:tbl>
    <w:p w:rsidR="006703B7" w:rsidRPr="00406514" w:rsidRDefault="006703B7" w:rsidP="006703B7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8"/>
          <w:szCs w:val="28"/>
          <w:lang w:val="kk-KZ"/>
        </w:rPr>
      </w:pPr>
    </w:p>
    <w:p w:rsidR="006703B7" w:rsidRPr="00406514" w:rsidRDefault="006703B7" w:rsidP="006703B7">
      <w:pPr>
        <w:tabs>
          <w:tab w:val="left" w:pos="9000"/>
          <w:tab w:val="left" w:pos="9180"/>
        </w:tabs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Диссертация 25.06.2025 жылы сағат 10:00 де М.Әуезов атындағы Оңтүстік Қазақстан университетінің D023 Тілдер және әдебиет бағыты  8D02310  – Филология бойынша диссертациялық кеңесте қорғалады. Мекен жай</w:t>
      </w:r>
      <w:r w:rsidR="002A667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: Шымкент қаласы, Тауке хан 5. Бас ғимарат, 3 қабат,  342 аудитория. </w:t>
      </w:r>
    </w:p>
    <w:p w:rsidR="006703B7" w:rsidRPr="00406514" w:rsidRDefault="006703B7" w:rsidP="006703B7">
      <w:pPr>
        <w:spacing w:after="0" w:line="240" w:lineRule="auto"/>
        <w:ind w:left="260" w:hanging="827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</w:p>
    <w:p w:rsidR="006703B7" w:rsidRPr="00406514" w:rsidRDefault="006703B7" w:rsidP="00406514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Диссертациямен Қазақстан Республикасы Ұлттық кітапханасында танысуға болады.</w:t>
      </w:r>
    </w:p>
    <w:p w:rsidR="00406514" w:rsidRDefault="006703B7" w:rsidP="006703B7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ab/>
      </w:r>
    </w:p>
    <w:p w:rsidR="006703B7" w:rsidRPr="00406514" w:rsidRDefault="00406514" w:rsidP="006703B7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           </w:t>
      </w:r>
      <w:r w:rsidR="006703B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Диссертациялық кеңестің </w:t>
      </w:r>
    </w:p>
    <w:p w:rsidR="006703B7" w:rsidRPr="00406514" w:rsidRDefault="006703B7" w:rsidP="006703B7">
      <w:pPr>
        <w:spacing w:after="0" w:line="240" w:lineRule="auto"/>
        <w:ind w:left="260" w:hanging="827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           ғалым хатшысы,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PhD докторы,                                               Таджиев Х.Х.</w:t>
      </w:r>
    </w:p>
    <w:p w:rsidR="006703B7" w:rsidRPr="00406514" w:rsidRDefault="006703B7" w:rsidP="006703B7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8"/>
          <w:szCs w:val="28"/>
          <w:lang w:val="kk-KZ"/>
        </w:rPr>
      </w:pPr>
    </w:p>
    <w:p w:rsidR="006703B7" w:rsidRPr="00406514" w:rsidRDefault="006703B7" w:rsidP="006703B7">
      <w:pPr>
        <w:spacing w:after="0" w:line="240" w:lineRule="auto"/>
        <w:ind w:firstLine="709"/>
        <w:jc w:val="center"/>
        <w:rPr>
          <w:rFonts w:ascii="Times New Roman" w:eastAsia="Malgun Gothic" w:hAnsi="Times New Roman" w:cs="Times New Roman"/>
          <w:b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>Аңдатпа</w:t>
      </w:r>
    </w:p>
    <w:p w:rsidR="006703B7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8"/>
          <w:szCs w:val="28"/>
          <w:lang w:val="kk-KZ"/>
        </w:rPr>
      </w:pPr>
    </w:p>
    <w:p w:rsidR="006703B7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Зерттеудің жалпы сипаттамасы. </w:t>
      </w:r>
      <w:r w:rsidR="00CB05F9">
        <w:rPr>
          <w:rFonts w:ascii="Times New Roman" w:eastAsia="Malgun Gothic" w:hAnsi="Times New Roman" w:cs="Times New Roman"/>
          <w:sz w:val="28"/>
          <w:szCs w:val="28"/>
          <w:lang w:val="kk-KZ"/>
        </w:rPr>
        <w:t>Диссертация тіл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де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гі түр-түс атауларының символизм призмасы арқылы ұсынылған этностардың мәдениетаралық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санасындағы 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аталған ұғым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ның семантикалық өрісін зерттеудің өзекті мәселесіне арналған. Атап айтқанда, б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іздің зерттеуіміз салыстырмалы түрде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лингвомәдени бірлестіктердің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ішіндегі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лшын этностарының сана бейнесі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нің ұлттық-мәдени ерекшелігін түсіндіру тұрғысынан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 ұғымының семантикалық өрісін салыстырмалы-констрастивтік талдауға арналған.</w:t>
      </w:r>
    </w:p>
    <w:p w:rsidR="006703B7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Жұмыс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құбылысының, дүниенің лингвистикалық суретіндегі түс белгілеулерінің (бұдан әрі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– ТБ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) қызмет етуінің қызықты және соңғы уақытта к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еңінен зерттелген проблемаларын қарастыруға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сәйкес жүргізіледі. 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Мұндай танымдық құбылыстар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зерттеудің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көп өлшемділігі мен көп қырлылығы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н,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әртүрлі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ғылыми ізденістердің, соның ішінде әртүрлі ғылымн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ың интеграциясына негізделген көзқарастардың пайда болуына әкелді. Адам ежелден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құбылысы туралы толғанып,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түстің субстанциясы ма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заттанған болмыс па, әлде ол кездейсоқ қасиет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пе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деген </w:t>
      </w:r>
      <w:r w:rsidR="00A64C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түрлі оймен келе жатқаны бізге мәлім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6703B7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үр-т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үс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атауларының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құбылысы көптеген іргелі ғылымдардың зерттеу пәні </w:t>
      </w:r>
      <w:r w:rsidR="003F2C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болумен қатар,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көптеген өнердің </w:t>
      </w:r>
      <w:r w:rsidR="003F2C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де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құрамдас бөлігі болып табылады. Дегенмен, осы уақытқа дейін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атаулары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қандай да бір ғылым </w:t>
      </w:r>
      <w:r w:rsidR="003F2C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объектісінде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жалпы ұғымға ие емес.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Түр-т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үс адам өмірін</w:t>
      </w:r>
      <w:r w:rsidR="003F2C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ің танымында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үлкен рөл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атқарады. Қазіргі уақытта тіл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адам қызметінің әртүрлі салаларындағы нақты қызметінде зерттеу қажеттілігі </w:t>
      </w:r>
      <w:r w:rsidR="003F2C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тұрғысынан жалпыға бірдей танылатыны белгілі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 Тіл мен мәдениеттің арақатынасы мәселесін шешудің алғашқы талпыныстары В.Гумбольдт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еңбектерінде көрініс тапқан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 Тіл – жеке адамдар арасындағы қарым-қатынас құралы, ал мәдениет – қоғам дамуының белгілі бір деңгейі.</w:t>
      </w:r>
    </w:p>
    <w:p w:rsidR="006703B7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Еліміздің Батыс жән</w:t>
      </w:r>
      <w:r w:rsidR="003F2C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 Шығыс елдерімен экономикалық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халықаралық ынтымақтастығының кеңінен дамуын, әлемдік тәжірибені пайдалану мен меңгеруін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ескере отырып, коммуникацияны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, бұл жағдайда –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этностарының өкілдерінің тілдік санасын зерттеудің қажеттілігі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мен өзектілігін анықтау мақсат етілді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6703B7" w:rsidRPr="00406514" w:rsidRDefault="006703B7" w:rsidP="006703B7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Диссертацияда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атауларының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терминдері әлемнің лингвистикалық бейнесінің өте маңызды элементі</w:t>
      </w:r>
      <w:r w:rsidR="003F2C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болып табылады, сонымен қатар түрлі мәдениетаралық қатысымдағы түр-түсті анықтау ұлттық таным тұрғысынан қа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растырылады. Жұмыста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белгілерін салыстырмалы талдау негізінде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номинативті және коннотативті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ерекше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ліктеріне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баса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назар аударылады. Жоғарыда аталған мәселелердің өзектілігін шетелдік және қазақстандық ғалымдардың ғылыми еңбектері дәлелдейді: М.А.Стернин, Н.Д.Арутюнова,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Ә. Қайдар,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З.К. Ахметжанова, В.Н.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Телия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,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E.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 Сүлейменова, Б.Хасанов, Н.В.Дмитриук, Ш.К. Жарқынбекова, Б.Берлин, П.Кей, В.А. Маслова және т.б.</w:t>
      </w:r>
    </w:p>
    <w:p w:rsidR="00764E10" w:rsidRPr="00406514" w:rsidRDefault="00764E10" w:rsidP="00764E1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Мәдениетаралық қатысымдағы түр-түс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атауларыны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ң семантикалық өрісі балама емес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ішін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ара баламалы лексика тобында да,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мифтерде, мақал-мәтелдерде, фразеолог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иялық бірліктерде айқын көрініс табады. Бұл бірліктер консервативті то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п болып табылады, өйткені олардың терең тарихи тамыры бар және қоршаған әлем туралы адам танымының архаикалық мағыналарын білдіреді, сондықтан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да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адамның түр-түс атаулары туралы тарихи түсініктерін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қабылдауға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мифтер мен аңыздар, фразеологиялық бірліктер, мақал-мәтелдер көмектеседі. Тілдің ұлттық ерекшелігі туралы идеяны өз заманында В. фон Гумбольдт білдірген, ол өз көзқарасын әр халықтың тілде бейнеленетін шындық құбылыстарын ерекше 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құбылыс ретінде көрсете білген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: «Әрбір тіл </w:t>
      </w:r>
      <w:r w:rsidR="0089331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–оған ие халықтың айналасына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өзі</w:t>
      </w:r>
      <w:r w:rsidR="00C0496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</w:t>
      </w:r>
      <w:r w:rsidR="0089331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дік бір шеңбер сызады,және бұл шеңберден шығу үшін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басқа</w:t>
      </w:r>
      <w:r w:rsidR="0089331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бір тілдің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3A5664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ш</w:t>
      </w:r>
      <w:r w:rsidR="0089331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еңберіне</w:t>
      </w:r>
      <w:r w:rsidR="003A5664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ен</w:t>
      </w:r>
      <w:r w:rsidR="0089331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у керек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>»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764E10" w:rsidRPr="00406514" w:rsidRDefault="003A5664" w:rsidP="00764E1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Мифология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– дүниені концептуализациялау, адами өлшем тұрғысынан әлемнің мифологиялық моделін жасау процесі.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мәдениеттерінде космонимдерге бағытталған мифтер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тік құрылымдар өз шеңберінде түрлі деңгейде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дамыды. Космонимдердегі түр-түсті мифтік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тұрғыдан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қабылдау, аспан денелерінің мифтік бейнелеріндегі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түр-түсті түсіну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і, миф кейіпкерлері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 салыстыра зерттеу жұмысымыздың кезекті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бір нысаны бол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ып табылады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764E10" w:rsidRPr="00406514" w:rsidRDefault="003A5664" w:rsidP="00764E1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Әрбір 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халықтың фразеологи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змдерінде </w:t>
      </w:r>
      <w:r w:rsidR="00C06D6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түр-түске байланысты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ұлттық</w:t>
      </w:r>
      <w:r w:rsidR="00C06D6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мәдени ерекшеліктер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көрініс табады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 «Тіл дүние</w:t>
      </w:r>
      <w:r w:rsidR="007B260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сі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нің концептуалды</w:t>
      </w:r>
      <w:r w:rsidR="007B260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қ моделі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оның мағыналары мен ассоциациялары жүйесі арқылы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ұлттық-мәдени бояулармен бейнеленеді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», ал тілде «мәдени-ұлттық стандарттармен, стереотиптермен, мифологемалармен және т.б. байланысты белгілі бір қауымға тән менталитетті қайта тудыратын, тілдік және мәдени-бұқаралық сипаттағы бейнелі ө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>рнектер орын алады»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. Е.Д. Сүлейменованың пікірінше, тілдің фразеологиялық қорын зерттеу мәдени дәстүрлер мен құндылықтардың тілге ену құралдары мен әдістерін ашуға </w:t>
      </w:r>
      <w:r w:rsidR="007B260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мүмкіндік береді</w:t>
      </w:r>
      <w:r w:rsidR="00764E1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764E10" w:rsidRPr="00406514" w:rsidRDefault="00764E10" w:rsidP="00764E1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Танымдық процесс сы</w:t>
      </w:r>
      <w:r w:rsidR="007B260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рттан анықталмайды, бірақ адам санасындағы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танымдық әрекетінің </w:t>
      </w:r>
      <w:r w:rsidR="007B260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нақты да, әмбебап ізі арқылы айқындалады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. </w:t>
      </w:r>
      <w:r w:rsidR="007B260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Бұл 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дам 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ойлау әрекеті мен ұғымдардың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қалыптасуы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 қамтамасыз ететін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танымдық 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үдеріс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арқылы анықталады. Метафора сияқты негізгі танымдық процестердің әмбебаптығына қарамастан, олардың 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әр</w:t>
      </w:r>
      <w:r w:rsidR="00C06D6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ұлттың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мә</w:t>
      </w:r>
      <w:r w:rsidR="00C06D6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дениетіне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тән нақты мазмұны болады.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Б.Х. Ха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сановтың пікірінше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әрбі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р халықтың ұлттық ерекшеліктері тек жалпылықпен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шектелмейді,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өзіндік қайталанбас және нақты тәжірибе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лік салаларға ие 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>екенін көрсетеді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. Тұжырымдама 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аясында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белгілі бір лингвомәдени қоғамға ғана тән белгілерді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ң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қамт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ыл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уы мүмкін. Ұғымның құрылымында, тіпті туыстас тілдер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де жазылған объектівтік сипаттағы мәтіндердің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өзінде де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C06D6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кездесуі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ықтимал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 Н.В.Дмитрюктің пікірінше, «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ілдік тұлғаның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санасында </w:t>
      </w:r>
      <w:r w:rsidR="00C06D6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белгілі бі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р танымдық дүниелер қалыптасқан</w:t>
      </w:r>
      <w:r w:rsidR="00C06D6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мен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бірақ шын мәнінде оған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тән емес ассоциациялар 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(анықтамалар, белгілер, сипаттамалар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) пайда болуы 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әбден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мүмкін.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Мұндай құбылыс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лексеманың семантикалық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құрылымында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астарлы денотативтік немесе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коннотативтік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белгілерді а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йқында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у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ға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сондай-ақ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түрлі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идея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лар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әр түрлі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мәдени шартталған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таным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өрісіне </w:t>
      </w:r>
      <w:r w:rsidR="0095402F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енгенде,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оның құндылық</w:t>
      </w:r>
      <w:r w:rsidR="007B260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жүйесінде бейнелетінін зерделеуге мүмкіндік береді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>»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D21920" w:rsidRPr="00406514" w:rsidRDefault="00D21920" w:rsidP="00D2192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Зерттеу тақырыбының өзектілігі.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Ғылыми жұмыстың тақырыбы мен қойылған 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зерттеу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сұрақтар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545187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тіл мен 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мәдениетті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салыстыр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у арқылы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түстерді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қабылдауды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ң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когнитивтік негіздерін зерделеу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дің 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өзекті ғылыми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парадигмасы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мен ұштасады. 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дамның танымдық әрекетіндегі тілдің рөлі және тіл мен мәдениет құбылыстарының детерминативті шарттылығы 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аясында қарастырылады. Сонымен қатар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Қазақстан Республикасының 1997 жылғы 11 шілдедегі № 151 «Қазақстан Республикасының тілдері туралы» Заңына сәйкес қазақ тіліндегі түр-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түстерді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қабылдау ұғымдар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ын басқа тілдермен салыстыра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отырып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зерттеу</w:t>
      </w:r>
      <w:r w:rsidR="007A7EA6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тақырыбт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ың өзектілігін айқындайды.</w:t>
      </w:r>
    </w:p>
    <w:p w:rsidR="00D21920" w:rsidRPr="00406514" w:rsidRDefault="00311488" w:rsidP="00D2192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әдениетаралық қарым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-қатынаста маңызды рөл атқаратындығы жұмыстың өзектілігі болып табылады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сонымен қатар 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этномәдени тұрғыдан барлық тілдерде белгіленген және осыған байланысты көбінесе символдық мәнге ие, аудармада елеулі қиындықтар туғызатын 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атауларын 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белгілеу жүйесі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ндегі мәселелер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түрлі деңгейде қарастырылады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. Кез келген тілдің 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түстік символизмі (бұдан әрі – Т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) этнос мәдениетінің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менталитеті мен ұлттық психологиясының айқын көрсетілген ерекшелігін қамтиды, бұл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тілдеріндегі ТС-н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жүйелеу, сипаттау және салыстырмалы талдау м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атериалдары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нда осы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ндай ерекшеліктерді анықтау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қызығушылық тудыр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</w:t>
      </w:r>
      <w:r w:rsidR="00D21920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ды.</w:t>
      </w:r>
    </w:p>
    <w:p w:rsidR="00D21920" w:rsidRPr="00406514" w:rsidRDefault="00D21920" w:rsidP="00D2192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Жұмыс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тілдеріндегі кейбір сөздердің астарлы мағыналарының кең ауқымын сипаттауға, осы номинативті және коннотативтік мағыналардың астарындағы мотивтерді түсіндіруге 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бағытталды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D21920" w:rsidRPr="00406514" w:rsidRDefault="00D21920" w:rsidP="00D2192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«Қазақстан Республикасындағы тіл саясатын дамытудың 2023-2029 жылдарға арналған тұжырымдамасы» туралы Қазақстан Республикасы Үкіметінің 2023 жылғы 16 қазандағы № 914 қаулысына сәйкес зерттеу тақырыбының өзектілігі қазақ,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кәріс, ағылшын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бір текті емес мәдениет өкілдерінің сана-сезімінің нақты жұмыс істейтін бейнелері проблемасының нашар 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зерттелуімен анықталады.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Бұл мәселе отандық тіл білімінде де, шетелдік тіл 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білімінде де жан-жақты, үш тілде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толық қамтылған 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емес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, бұл да 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жұмыстың өзектілігін айқынд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айды.</w:t>
      </w:r>
    </w:p>
    <w:p w:rsidR="00D21920" w:rsidRPr="00406514" w:rsidRDefault="00D21920" w:rsidP="00D21920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Осы жұмыс аясында жүргізілген мифтік бейнелердегі, фразеологиялық бірліктердегі (бұдан әрі – 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ФБ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)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тілдеріндегі 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ТБ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-ның салыстырмалы талдауы кез келген 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лингвомәдени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тану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тарихпен, салт-дәстүрмен, 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ұлттың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өмір сүру ерекшеліктерімен терең таныс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уға, олардың лингвомәдени бірлік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тер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ің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ің менталитеттік ерекшеліктерін қарастыруға, олардың ұлттық ерекше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ліктерін болжауға бағытталған. М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әдениетаралық коммуникация үдерісіндегі өзара түсіністік, ізгі</w:t>
      </w:r>
      <w:r w:rsidR="00311488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ниетпен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толеранттылық атмосферасы, бұл да зерттеу тақырыбының өзектілігін анықта</w:t>
      </w:r>
      <w:r w:rsidR="008A4F13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й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ды.</w:t>
      </w:r>
    </w:p>
    <w:p w:rsidR="008A4F13" w:rsidRPr="00406514" w:rsidRDefault="008A4F13" w:rsidP="008A4F13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Зерттеу нысаны –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этникалық қауымдастықтары өкілдерінің тілдік санасының (ұлттық кодының) ұлттық-мәдени ерекшелігі, осы тілдердің ТС семантикалық өр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ісінің призмасы арқылы ұсынылады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8A4F13" w:rsidRPr="00406514" w:rsidRDefault="008A4F13" w:rsidP="008A4F13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Зерттеу пәні –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осы халықтардың дүниетанымының ұлттық-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танымдық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ерекшеліктері туралы ақпарат көзі ретіндегі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тілдерінің түр-түс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атауларының этнолингвистикалық және лингвомәдени ерекшеліктері, коллокация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фразеологиялық бірліктер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құрамдас «түр-түс» атаулары болып табылады, сондай-ақ салыстырылған лексика тілдерінің полисемантизмінің жүзеге асу ерекшеліктері.</w:t>
      </w:r>
    </w:p>
    <w:p w:rsidR="008A4F13" w:rsidRPr="00406514" w:rsidRDefault="008A4F13" w:rsidP="008A4F13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Зерттеу материалы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тілдеріндегі «түр-түс» компоненті бар фразеологиялық бірліктер болды, олар шынайы дүниені қабылдаудың ұлттық-мәдени ерекшелігін жанама түрде бейнелейді, ТС-ның мифтік салыстырулары, тулардағы түр-түс семантикасы, дәстүрлі киімдер және қарастырылып отырған тілдердегі «түр-түс» семантикалық өрістері.</w:t>
      </w:r>
    </w:p>
    <w:p w:rsidR="008A4F13" w:rsidRPr="00406514" w:rsidRDefault="008A4F13" w:rsidP="008A4F13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Көрнекілік материал фразеологиялық сөздіктерден, халық ауыз әдебиеті мәтіндерінен үзіліссіз іріктеу әдісі және 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өрістік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зерттеу нәтижесінде – зерттелетін тілдердің ана тілінде сөйлейтін информаторлармен қарым-қатынасы 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материалдарынан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алынды. Алынған деректер 600-ден астам фразеологиялық бірліктерді қамтитын 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картотека түрінде жүйеленді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, оның ішінде қара және ақ түстердің құрамдас бөлігі бар түрлі түсті белгілер (200 қазақ фразеологиялық бірлігі + 200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фразеологиялық бірлігі + 200 ағылшын фразеологиялық бірлігі) әлемнің сызбасын ажырату, сызбалық позициядағы көптеген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қазақ, кәріс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халықтарының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санасында көрініс тапқан дүниенің әртүрлі, этникалық шартты 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бейнелер арасындағы айырмашылықтарды анықтауға мүмкіндік берді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. Салыстырмалы талдау нәтижелері 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аталған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этнос өкілдер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інің тілдік санасының бейнесін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дегі сәйкестіктердің көп 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екендігің анықтауға мүмкіндік берді. 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түст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ерд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ің номинативті және коннотативтік мағыналарындағы сәйкестік пен айырмашылықтардан, әртүрлі этникалық шығу тегінің мифтік бейнелерінің орталық идеясынан көрініс тапты.</w:t>
      </w:r>
    </w:p>
    <w:p w:rsidR="008A4F13" w:rsidRPr="00406514" w:rsidRDefault="008A4F13" w:rsidP="008A4F13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Зерттеудің теориялық негізі –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халықтың ғылыми негізделген колористік мәдениеті. Бұл, ең алдымен, адамдардың күнделікті өмірде жасап, қолданатын заттар</w:t>
      </w:r>
      <w:r w:rsidR="00E879C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дың түрі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мен 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атауларына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деген көзқарасы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негізге алынды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. Нысанның 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түсін, тондық қанықтылығын және 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схемасын ескеру маңызды. Жеке тілдерге тән 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белгілерінің алуан түрлілігіне қарамастан, олардың әрқайсысында ең алдымен халықтың мәдениетімен байланысты «негізгі» 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түстер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ге бағытталды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8A4F13" w:rsidRPr="00406514" w:rsidRDefault="008A4F13" w:rsidP="008A4F13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Зерттеудің әдіснамалық негізі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В.Гумбольдт еңбектеріндегі лингвофилософиялық антропология негіздерін зерттеу саласындағы қазақстандық және шетелдік ғылым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ның жетістіктеріне, Б.Берлин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П. Кей 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>түр-түс теориясына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тіл және мәдениет мәселелері, мәдениетаралық қарым-қатынас теориясы, Н.Д.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Арутюнованың монографияларындағы әлеумет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>тік лингвистикалық зерттеулер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З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>.К. Ахметжанова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М.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А. Стернина, В.А. Маслова;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ұсынған фразеологиялық бірліктерді жіктеу талдауының әдістері мен тәсілдері. Телией, Е.Д. Сүлейменова; Б.Хасанов, Н.В.Дмитриук, Ш.К</w:t>
      </w:r>
      <w:r w:rsidR="00211E2C">
        <w:rPr>
          <w:rFonts w:ascii="Times New Roman" w:eastAsia="Malgun Gothic" w:hAnsi="Times New Roman" w:cs="Times New Roman"/>
          <w:sz w:val="28"/>
          <w:szCs w:val="28"/>
          <w:lang w:val="kk-KZ"/>
        </w:rPr>
        <w:t>. Жарқынбекова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еңбектеріндегі сөз семантикасының семантикалық-когнитивтік, этнологиялық және мәдени мәселелері, мәден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иетаралық психология мәселелері.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</w:p>
    <w:p w:rsidR="00C20A4D" w:rsidRPr="00406514" w:rsidRDefault="008A4F13" w:rsidP="008A4F13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Жұмыстың мақсаты –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, ағылшын тілдеріндегі жиынтық өрнектер, мифтердегі ақ, қара, қызыл, жасыл, көк, ашық көк, сары түстерді білдіретін сөздердің символикасының семантикалық өрістерін салыстыру және салыстырылған тілдердегі </w:t>
      </w:r>
      <w:r w:rsidR="00C20A4D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ТБ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-ның когнитивтік ерекшеліктерін ашу.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Қойылған мақсат жұмыстың келесі міндеттерін анықта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л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ды: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- алдыңғы жұмыстардың материалдарына сүйене отырып, түр-түс атауларының тіл біліміндегі ғылыми зерттеулердің аспектілері мен бағыттарына қатысты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негізгі жалпы теориялық негіздерін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анықтау;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лексика-семантикалық ақпараттың компоненттерін (сигнативті, денотативті, прагматикалық) зерттеу;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-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қазақ, кәріс және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ағылшын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тілдеріндегі сөздердің түр-түс б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елгілеуінің семантикалық өрісіндегі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корреляциясын зерттей отырып модельдеу;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контексте түр-түс белгілеу сөздеріне талдау жасап, зерттелетін тілдердегі этно-приоритет пен этносәйкес түстерді анықтау.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>Зерттеу әдістері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. Қойылған мақсатқа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пен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диссертациядағы мәселелерді шешу үшін салыстырмал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ы-контрастивті, қарама-қарсылық,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сипаттамалық әдістер және «түр-түс» семантикалық өрісін құру әдісі қолданылды.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Қарастырылып отырған түр-түстерге мінездеме беру және салыстырылатын этностардың ана тілінде сөйлейтіндер санасындағы бейнелердегі алшақтықтардың себептерін түсіндіруге тырысу үшін контрастивті-сипаттамалық (интерпретативті, когнитивтік-семантикалық) әдіс қолданылды, бұл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тілдеріндегі интерпретацияларда көрініс тапты.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ағылшын этностары өкілдерінің тілдік санасының элементтерін көрсететін таңдап алынған түстік компоненттердің корреляциялық және нақты сәйкестіктерін, ұқсастықтары мен айырмашылықтарын анықтау үшін салыстырмалы-контрастивті әдіс қолданылды. «Түр-түс» компоненті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бар фразеологиялық бірліктерді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салыстырмалы түрде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метафорациялану дәрежесін анықтау үшін компоненттік талдау әдісі қолданылды.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этникалық топтарының тілдік санасындағы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белгілерінің анонимділік дәрежесін анықтау үшін сауалнама, модельдеу және интроспекция әдістерін қолдандық (агнонимиялық дәрежесі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 мағынасын түсіндірудегі «сәйкестік» немесе «сәйкес келмеу» қатынасынан есептеледі).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>Диссертацияның теориялық маңыздылығы</w:t>
      </w:r>
      <w:r w:rsidR="000263C5"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.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ілдік сана теориясының, әлемнің тілдік бейнесінің, мәдениетаралық қарым-қатынас теориясының, оның ішінде аударма аспектісінің жалпы ережелерін одан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әрі дамыту мен нақтылау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>Ұсынылып отырған зерттеудің теориялық қызығушылығы</w:t>
      </w:r>
      <w:r w:rsidR="000263C5"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.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Қ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тілдеріндегі нақты материалдарды пайдалана отырып, осы этникалық топтардың тілдік санасының архетиптерін және олардың ұлттық лингвистикалық бейнесінің кейбір тарихи қалыптасқан ерекшеліктерін қайта қалпына келтіре отырып,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фразеологиялық бірліктердегі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түр-түсті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сипаттау әдістемесін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жасауға мүмкіндік беретінді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.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Алынған нәтижелердің практикалық мәні. </w:t>
      </w:r>
      <w:r w:rsidR="000263C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Зерттеу нәтижелері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этнолингвистика мен лингвомәдениеттануда, лексикографиялық және фразеологиялық сөздіктер жасауда, жиынтық тіркестерді аудару теориясы мен тәжірибесінде, мәдениетаралық коммуникацияны зерттеу салаларында пайдалануға болады. Зерттеу материалын бакалаврлар мен магистранттарға арналған қазақ, к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тілдерінің мәдениетаралық коммуникация, ауда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рма теориясы және семасиология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мәселелері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бойынша арнайы курстарды әзірлеуде пайдалануға болады.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>Зерттеу жұмысымыздың ғылыми жаңалығы төмендегідей: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- түрлі жүйедегі үш тілдің: қазақ,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тілдерінің материалдарын пайдалана отырып, 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түс символикасының семантикалық өрісі алғаш рет этномәдени тұ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рғыдан жүйелі түрде зерттелді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;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- қазақ тілінің түстік компоненті бар фразеологиялық бірліктердің материалы негізінде 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түр-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түс ұғымына басқа тілдермен, атап айтқанда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тілдерімен салыстырмалы талдау жасалды. Т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үр-т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үс ұғымына нақты салыстырмалы талдау жасау үшін «қара», «ақ» түстер компоненттері бар фразеологиялық бірліктер таңдалды;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- түсті қабылдауға қатысты ұлттық көзқарастардың тарихи-лингвистикалық парадигмасын зерделеу мақсатында фактологиялық материал ретінде 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түр-түстегі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символдық 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тұрғыдан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суреттелетін космонимдер мен мифтік кейіпкерлер пайдаланылды; 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- зерттелетін тілдердің материалы негізінде анықталған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ТБ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-ге егжей-тегжейлі салыстырмалы лингвомәдени талдау жүргізуге мүмкіндік беретін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ТБ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семантикалық өрісі құрастырылды;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алғаш рет қазақ, к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әріс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және ағылшын тілдеріндегі </w:t>
      </w:r>
      <w:r w:rsidR="0011768A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 материалдарын пайдалана отырып, т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үр-т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үс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тің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когнитивтік агнонимия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сы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ның дәрежесі зерттелді: ана тілінде сөйлеушілердің санасында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ғы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тілдік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бірліктердің мазмұны, идеялардың табиғаты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, олардың әлемге тәуелді болу болмауы тұрғысынан зерттеу (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тілдік тұлға және үлкен және кіші топтар);</w:t>
      </w:r>
    </w:p>
    <w:p w:rsidR="00C20A4D" w:rsidRPr="00406514" w:rsidRDefault="00C20A4D" w:rsidP="00C20A4D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талданған ТБ-нің мәдениаралық семантикасын түсіндіру барысында салыстырылатын этникалық қауымдастықтар өкілдеріне тән ұлттық менталитет пен нақты мәдени ақпараттың ерекшеліктері анықталды;</w:t>
      </w:r>
    </w:p>
    <w:p w:rsidR="0011768A" w:rsidRPr="00406514" w:rsidRDefault="0011768A" w:rsidP="0011768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>Қорғауға келесі ережелер ұсынылады:</w:t>
      </w:r>
    </w:p>
    <w:p w:rsidR="0011768A" w:rsidRPr="00406514" w:rsidRDefault="0011768A" w:rsidP="0011768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-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лингвистика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ғылымының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перспективті бағыттарының бірі ретінде әлемнің 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тілдік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суретіндегі «түр-түс» ұғымы, «Тіл және мәдениет», «Тіл және коммуникация» сияқты іргелі мәселелердің жаңа қырларын ашады;</w:t>
      </w:r>
    </w:p>
    <w:p w:rsidR="0011768A" w:rsidRPr="00406514" w:rsidRDefault="0011768A" w:rsidP="0011768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қазақ, кәріс және ағылшын тілдеріндегі ТБ сөздерінің семантикасының лингвомәдени ерекшеліктері олардың мағыналық, денотативті және прагматикалық компоненттеріндегі айырмашылықтардан көрінеді;</w:t>
      </w:r>
    </w:p>
    <w:p w:rsidR="0011768A" w:rsidRPr="00406514" w:rsidRDefault="0011768A" w:rsidP="0011768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қазақ және кәріс тілдеріндегі орталық ойды білдіретін сөздерге тән емес синоним, антоним және гипонимия ағылшын тілі жүйесіне тән белгілердің кең дамығандығы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көрсетіледі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;</w:t>
      </w:r>
    </w:p>
    <w:p w:rsidR="0011768A" w:rsidRPr="00406514" w:rsidRDefault="0011768A" w:rsidP="0011768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қазақ, кәріс және ағылшын тілдеріндегі ТБ сөздерінің ассоциативті байланыстары 8 ұқсас модельде кездеседі, дегенмен жеке үлгілердің актуалдану дәрежесі мен лексикалық мазмұнында айырмашылықтар бар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екендігі қарастырылады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;</w:t>
      </w:r>
    </w:p>
    <w:p w:rsidR="0011768A" w:rsidRPr="00406514" w:rsidRDefault="0011768A" w:rsidP="0011768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салыстырылатын тілдердің поэтикал</w:t>
      </w:r>
      <w:r w:rsidR="001E2561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ық және паромиялық материалдары ұлт мәдениетін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дегі түстердің этноприоритет</w:t>
      </w:r>
      <w:r w:rsidR="00A7212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інде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этнос</w:t>
      </w:r>
      <w:r w:rsidR="00A72125"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тардың сабақтастық танымындағы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 xml:space="preserve"> айырмашылықтарды көрсетеді;</w:t>
      </w:r>
    </w:p>
    <w:p w:rsidR="0011768A" w:rsidRPr="00406514" w:rsidRDefault="0011768A" w:rsidP="0011768A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- әртүрлі этностардың ортақ тілдік санасының элементтері, жалпы мәдени константалар, олардың негізінде әлемнің ұлттық суреттері қалыптасады, кез келген деңгейде этникалық қауымдастықтарды осы зерттеу аясында қарастырылатын өкілдердің мәдениетаралық қарым-қатынасының оңтайлы әдістерін табуға түбегейлі мүмкіндік береді және өзара түсіністік, толеранттылық және ізгі ниет атмосферасын құруға ықпал етеді.</w:t>
      </w:r>
    </w:p>
    <w:p w:rsidR="0011768A" w:rsidRPr="00406514" w:rsidRDefault="0011768A" w:rsidP="0011768A">
      <w:pPr>
        <w:ind w:firstLine="708"/>
        <w:jc w:val="both"/>
        <w:rPr>
          <w:rFonts w:ascii="Times New Roman" w:eastAsia="Malgun Gothic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Жұмысты сынау.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М.Әуезов атындағы Оңтүстік Қазақстан университетінің қазақ тілі кафедрасының мәжілістерінде зерттеудің негізгі ережелері мен нәтижелері талқыланды (Шымкент, 2021-2024), ашық баспасөзде 7 ғылыми мақаласы жарияланған. Оның ішінде 1 мақала Scopus Q1 негізіндегі импакт-факторы жоғары журналда жарияланған. Қазақстан Республикасы Ғылым және жоғары білім министрлігінің Білім және ғылым сапасын қамтамасыз ету комитеті ұсынған журналдарда 3 мақала,ғылыми журналдарда және отандық және халықаралық ғылыми-практикалық конференцияларда 3 мақала жарияланған.</w:t>
      </w:r>
    </w:p>
    <w:p w:rsidR="005C3E73" w:rsidRPr="00406514" w:rsidRDefault="0011768A" w:rsidP="0011768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514">
        <w:rPr>
          <w:rFonts w:ascii="Times New Roman" w:eastAsia="Malgun Gothic" w:hAnsi="Times New Roman" w:cs="Times New Roman"/>
          <w:b/>
          <w:sz w:val="28"/>
          <w:szCs w:val="28"/>
          <w:lang w:val="kk-KZ"/>
        </w:rPr>
        <w:t xml:space="preserve">Жұмыстың құрылымы мен көлемі. </w:t>
      </w:r>
      <w:r w:rsidRPr="00406514">
        <w:rPr>
          <w:rFonts w:ascii="Times New Roman" w:eastAsia="Malgun Gothic" w:hAnsi="Times New Roman" w:cs="Times New Roman"/>
          <w:sz w:val="28"/>
          <w:szCs w:val="28"/>
          <w:lang w:val="kk-KZ"/>
        </w:rPr>
        <w:t>Диссертация кіріспеден, үш бөлімнен, қорытындыдан, пайдаланылған әдебиеттер тізімінен (161 атау), 21 кесте мен 7 суреттен тұрады.</w:t>
      </w:r>
      <w:r w:rsidR="006703B7" w:rsidRPr="004065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5C3E73" w:rsidRPr="0040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DEB"/>
    <w:multiLevelType w:val="multilevel"/>
    <w:tmpl w:val="36DA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413E4"/>
    <w:multiLevelType w:val="multilevel"/>
    <w:tmpl w:val="6C70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023B2"/>
    <w:multiLevelType w:val="multilevel"/>
    <w:tmpl w:val="4180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C3"/>
    <w:rsid w:val="000263C5"/>
    <w:rsid w:val="000904A9"/>
    <w:rsid w:val="000C6B71"/>
    <w:rsid w:val="0011768A"/>
    <w:rsid w:val="00121C51"/>
    <w:rsid w:val="001E2561"/>
    <w:rsid w:val="00211E2C"/>
    <w:rsid w:val="002A6673"/>
    <w:rsid w:val="00311488"/>
    <w:rsid w:val="00322E1B"/>
    <w:rsid w:val="003A5664"/>
    <w:rsid w:val="003F0D42"/>
    <w:rsid w:val="003F2C61"/>
    <w:rsid w:val="003F5CA0"/>
    <w:rsid w:val="00406514"/>
    <w:rsid w:val="004131C3"/>
    <w:rsid w:val="00492A30"/>
    <w:rsid w:val="00545187"/>
    <w:rsid w:val="005C3E73"/>
    <w:rsid w:val="006703B7"/>
    <w:rsid w:val="00764E10"/>
    <w:rsid w:val="007A7EA6"/>
    <w:rsid w:val="007B2608"/>
    <w:rsid w:val="00893316"/>
    <w:rsid w:val="008A4F13"/>
    <w:rsid w:val="0095402F"/>
    <w:rsid w:val="00A64C66"/>
    <w:rsid w:val="00A72125"/>
    <w:rsid w:val="00B27364"/>
    <w:rsid w:val="00B9005A"/>
    <w:rsid w:val="00BF3E10"/>
    <w:rsid w:val="00C04966"/>
    <w:rsid w:val="00C06D60"/>
    <w:rsid w:val="00C20A4D"/>
    <w:rsid w:val="00CB05F9"/>
    <w:rsid w:val="00CE4E32"/>
    <w:rsid w:val="00D21920"/>
    <w:rsid w:val="00D531DD"/>
    <w:rsid w:val="00D60B6D"/>
    <w:rsid w:val="00E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73665-8EFC-4C8C-B652-47D2FDC2A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1C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B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1C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121C5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C6B7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1">
    <w:name w:val="Сетка таблицы1"/>
    <w:basedOn w:val="a1"/>
    <w:uiPriority w:val="39"/>
    <w:rsid w:val="00D60B6D"/>
    <w:pPr>
      <w:spacing w:after="0" w:line="240" w:lineRule="auto"/>
    </w:pPr>
    <w:rPr>
      <w:rFonts w:ascii="Cambria" w:eastAsia="Batang" w:hAnsi="Cambria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39"/>
    <w:rsid w:val="00322E1B"/>
    <w:pPr>
      <w:spacing w:after="0" w:line="240" w:lineRule="auto"/>
    </w:pPr>
    <w:rPr>
      <w:rFonts w:ascii="Cambria" w:eastAsia="MS Mincho" w:hAnsi="Cambria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5C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6703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4"/>
    <w:uiPriority w:val="59"/>
    <w:rsid w:val="002A667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6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2025-06-22T21:35:00Z</cp:lastPrinted>
  <dcterms:created xsi:type="dcterms:W3CDTF">2025-03-25T18:35:00Z</dcterms:created>
  <dcterms:modified xsi:type="dcterms:W3CDTF">2025-06-22T21:39:00Z</dcterms:modified>
</cp:coreProperties>
</file>